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EC" w:rsidRPr="008368EC" w:rsidRDefault="008368EC" w:rsidP="008368EC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Geneva" w:eastAsia="Times New Roman" w:hAnsi="Geneva" w:cs="Times New Roman"/>
          <w:b/>
          <w:bCs/>
          <w:color w:val="4A4A4A"/>
          <w:kern w:val="36"/>
          <w:sz w:val="30"/>
          <w:szCs w:val="30"/>
          <w:lang w:eastAsia="ru-RU"/>
        </w:rPr>
      </w:pPr>
      <w:r w:rsidRPr="008368EC">
        <w:rPr>
          <w:rFonts w:ascii="Arial" w:eastAsia="Times New Roman" w:hAnsi="Arial" w:cs="Arial"/>
          <w:b/>
          <w:bCs/>
          <w:color w:val="4A4A4A"/>
          <w:kern w:val="36"/>
          <w:sz w:val="30"/>
          <w:szCs w:val="30"/>
          <w:lang w:eastAsia="ru-RU"/>
        </w:rPr>
        <w:t>БИОХИМИЯ</w:t>
      </w:r>
      <w:r w:rsidRPr="008368EC">
        <w:rPr>
          <w:rFonts w:ascii="Geneva" w:eastAsia="Times New Roman" w:hAnsi="Geneva" w:cs="Times New Roman"/>
          <w:b/>
          <w:bCs/>
          <w:color w:val="4A4A4A"/>
          <w:kern w:val="36"/>
          <w:sz w:val="30"/>
          <w:szCs w:val="30"/>
          <w:lang w:eastAsia="ru-RU"/>
        </w:rPr>
        <w:t xml:space="preserve"> </w:t>
      </w:r>
      <w:r w:rsidRPr="008368EC">
        <w:rPr>
          <w:rFonts w:ascii="Arial" w:eastAsia="Times New Roman" w:hAnsi="Arial" w:cs="Arial"/>
          <w:b/>
          <w:bCs/>
          <w:color w:val="4A4A4A"/>
          <w:kern w:val="36"/>
          <w:sz w:val="30"/>
          <w:szCs w:val="30"/>
          <w:lang w:eastAsia="ru-RU"/>
        </w:rPr>
        <w:t>ПСИХОЗОВ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БИОХИМИЯ ПСИХОЗОВ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Предположения о выделении «особого эфира» в нервных окончаниях сделал еще В. 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Куллен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(1776), который в связи с этим считал, что все болезни являются нервными, и предложил для их обозначения термин «неврозы». Успехи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нейронаук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в настоящее время установить, что передача информации от одного нейрона другому осуществляется в результате деятельности особых связывающих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нейроструктур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(«синапсов») путем выделения специфических химических агентов (медиаторов,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нейротрансмиттеров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Выделены и описаны различные медиаторы, которые в момент возбуждения высвобождаются в синапсах, в результате чего происходит химическое взаимодействие с белками-рецепторами, которые расположены на пре- и постсинаптической мембране. Как результат происходит либо возбуждение нейрона, либо торможение активности. После взаимодействия с рецепторами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подвергаться дезактивации либо вновь захватываться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пресинаптической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мембраной (обратный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нейрональный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реаптейк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Блокада соответствующих рецепторов делает их нечувствительными к действию медиатора, а блокада обратного захвата усиливает его действие, что ведет к перевозбуждению рецептора. В возникновении психозов особое значение имеют катехоламины (дофамин, норадреналин, адреналин).</w:t>
      </w:r>
    </w:p>
    <w:p w:rsidR="008368EC" w:rsidRPr="008368EC" w:rsidRDefault="008368EC" w:rsidP="008368EC">
      <w:pPr>
        <w:shd w:val="clear" w:color="auto" w:fill="F5F5F5"/>
        <w:spacing w:after="0" w:line="30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8368EC" w:rsidRPr="008368EC" w:rsidRDefault="008368EC" w:rsidP="008368EC">
      <w:pPr>
        <w:shd w:val="clear" w:color="auto" w:fill="F5F5F5"/>
        <w:spacing w:after="0" w:line="288" w:lineRule="atLeast"/>
        <w:rPr>
          <w:rFonts w:ascii="Helvetica" w:eastAsia="Times New Roman" w:hAnsi="Helvetica" w:cs="Helvetica"/>
          <w:spacing w:val="15"/>
          <w:lang w:eastAsia="ru-RU"/>
        </w:rPr>
      </w:pPr>
      <w:r w:rsidRPr="008368EC">
        <w:rPr>
          <w:rFonts w:ascii="Verdana" w:eastAsia="Times New Roman" w:hAnsi="Verdana" w:cs="Helvetica"/>
          <w:color w:val="FFFFFF"/>
          <w:sz w:val="19"/>
          <w:szCs w:val="19"/>
          <w:lang w:eastAsia="ru-RU"/>
        </w:rPr>
        <w:t>Про</w:t>
      </w:r>
      <w:r w:rsidRPr="008368EC">
        <w:rPr>
          <w:rFonts w:ascii="Verdana" w:eastAsia="Times New Roman" w:hAnsi="Verdana" w:cs="Helvetica"/>
          <w:color w:val="FFFFFF"/>
          <w:sz w:val="19"/>
          <w:szCs w:val="19"/>
          <w:lang w:eastAsia="ru-RU"/>
        </w:rPr>
        <w:softHyphen/>
        <w:t>да</w:t>
      </w:r>
      <w:r w:rsidRPr="008368EC">
        <w:rPr>
          <w:rFonts w:ascii="Verdana" w:eastAsia="Times New Roman" w:hAnsi="Verdana" w:cs="Helvetica"/>
          <w:color w:val="FFFFFF"/>
          <w:sz w:val="19"/>
          <w:szCs w:val="19"/>
          <w:lang w:eastAsia="ru-RU"/>
        </w:rPr>
        <w:softHyphen/>
        <w:t>вец: ООО "АР</w:t>
      </w:r>
      <w:r w:rsidRPr="008368EC">
        <w:rPr>
          <w:rFonts w:ascii="Verdana" w:eastAsia="Times New Roman" w:hAnsi="Verdana" w:cs="Helvetica"/>
          <w:color w:val="FFFFFF"/>
          <w:sz w:val="19"/>
          <w:szCs w:val="19"/>
          <w:lang w:eastAsia="ru-RU"/>
        </w:rPr>
        <w:softHyphen/>
        <w:t>ДЖУ</w:t>
      </w:r>
      <w:r w:rsidRPr="008368EC">
        <w:rPr>
          <w:rFonts w:ascii="Verdana" w:eastAsia="Times New Roman" w:hAnsi="Verdana" w:cs="Helvetica"/>
          <w:color w:val="FFFFFF"/>
          <w:sz w:val="19"/>
          <w:szCs w:val="19"/>
          <w:lang w:eastAsia="ru-RU"/>
        </w:rPr>
        <w:softHyphen/>
        <w:t>НА". Ад</w:t>
      </w:r>
      <w:r w:rsidRPr="008368EC">
        <w:rPr>
          <w:rFonts w:ascii="Verdana" w:eastAsia="Times New Roman" w:hAnsi="Verdana" w:cs="Helvetica"/>
          <w:color w:val="FFFFFF"/>
          <w:sz w:val="19"/>
          <w:szCs w:val="19"/>
          <w:lang w:eastAsia="ru-RU"/>
        </w:rPr>
        <w:softHyphen/>
        <w:t>рес: Рос</w:t>
      </w:r>
      <w:r w:rsidRPr="008368EC">
        <w:rPr>
          <w:rFonts w:ascii="Verdana" w:eastAsia="Times New Roman" w:hAnsi="Verdana" w:cs="Helvetica"/>
          <w:color w:val="FFFFFF"/>
          <w:sz w:val="19"/>
          <w:szCs w:val="19"/>
          <w:lang w:eastAsia="ru-RU"/>
        </w:rPr>
        <w:softHyphen/>
        <w:t>сия, Москва, Ки</w:t>
      </w:r>
      <w:r w:rsidRPr="008368EC">
        <w:rPr>
          <w:rFonts w:ascii="Verdana" w:eastAsia="Times New Roman" w:hAnsi="Verdana" w:cs="Helvetica"/>
          <w:color w:val="FFFFFF"/>
          <w:sz w:val="19"/>
          <w:szCs w:val="19"/>
          <w:lang w:eastAsia="ru-RU"/>
        </w:rPr>
        <w:softHyphen/>
        <w:t>ев</w:t>
      </w:r>
      <w:r w:rsidRPr="008368EC">
        <w:rPr>
          <w:rFonts w:ascii="Verdana" w:eastAsia="Times New Roman" w:hAnsi="Verdana" w:cs="Helvetica"/>
          <w:color w:val="FFFFFF"/>
          <w:sz w:val="19"/>
          <w:szCs w:val="19"/>
          <w:lang w:eastAsia="ru-RU"/>
        </w:rPr>
        <w:softHyphen/>
        <w:t xml:space="preserve">ское шоссе 22-й, 4с2. ОГРН: </w:t>
      </w:r>
    </w:p>
    <w:p w:rsidR="008368EC" w:rsidRPr="008368EC" w:rsidRDefault="008368EC" w:rsidP="008368EC">
      <w:pPr>
        <w:shd w:val="clear" w:color="auto" w:fill="F5F5F5"/>
        <w:spacing w:after="100" w:line="135" w:lineRule="atLeast"/>
        <w:rPr>
          <w:rFonts w:ascii="Times New Roman" w:eastAsia="Times New Roman" w:hAnsi="Times New Roman" w:cs="Times New Roman"/>
          <w:b/>
          <w:caps/>
          <w:color w:val="575C66"/>
          <w:spacing w:val="30"/>
          <w:sz w:val="28"/>
          <w:szCs w:val="28"/>
          <w:lang w:eastAsia="ru-RU"/>
        </w:rPr>
      </w:pPr>
      <w:r w:rsidRPr="008368EC">
        <w:rPr>
          <w:rFonts w:ascii="Times New Roman" w:eastAsia="Times New Roman" w:hAnsi="Times New Roman" w:cs="Times New Roman"/>
          <w:b/>
          <w:caps/>
          <w:color w:val="575C66"/>
          <w:spacing w:val="30"/>
          <w:sz w:val="28"/>
          <w:szCs w:val="28"/>
          <w:lang w:eastAsia="ru-RU"/>
        </w:rPr>
        <w:t>Биохимия психических</w:t>
      </w:r>
      <w:r w:rsidR="0060176E">
        <w:rPr>
          <w:rFonts w:ascii="Times New Roman" w:eastAsia="Times New Roman" w:hAnsi="Times New Roman" w:cs="Times New Roman"/>
          <w:b/>
          <w:caps/>
          <w:color w:val="575C66"/>
          <w:spacing w:val="3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368EC">
        <w:rPr>
          <w:rFonts w:ascii="Times New Roman" w:eastAsia="Times New Roman" w:hAnsi="Times New Roman" w:cs="Times New Roman"/>
          <w:b/>
          <w:caps/>
          <w:color w:val="575C66"/>
          <w:spacing w:val="30"/>
          <w:sz w:val="28"/>
          <w:szCs w:val="28"/>
          <w:lang w:eastAsia="ru-RU"/>
        </w:rPr>
        <w:t>расстройств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Дофамин.</w:t>
      </w: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вещество синтезируется из аминокислоты тирозина, является предшественником норадреналина, инактивируется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метилированием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путем окисления ферментом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моноаминооксидазой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(МАО).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Дофаминэргические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нейроны располагаются в подкорковых ядрах среднего мозга (черной субстанции, полосатом теле) и в гипоталамусе. Они направляют импульсы в гипофиз,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лимбическую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 Там происходит регуляция мышечного тонуса, эмоционального состояния, поведения. Дофамин оказывает возбуждающее действие на ЦНС, усиливает двигательную активность, повышает артериальное давление (АД). Через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дофаминовую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обеспечивается работа «центров удовольствия», регулируется аффективная сфера. Подтверждена роль нарушения в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дофаминовой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 при паркинсонизме, МДП, шизофрении. Избыточная активность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дофаминовой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связывается с действием галлюциногенных веществ (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мескалина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 сходен с дофамином). Блокадой дофаминовых рецепторов объясняются основные эффекты действия антипсихотиков (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аминазина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трифтазина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У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нелеченных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шизофренией повышен по сравнению с нормой уровень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гомованильной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(ГВК), которая является продуктом превращения,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инактивирования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дофамина. Снижение уровня ГВК может свидетельствовать об эффективности лечения нейролептиками. С действием дофамина связывают появление таких продуктивных симптомов шизофрении, как бред, галлюцинации, мания, двигательное возбуждение.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Антидофаминовое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аминазина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нейролептиков дает такие осложнения, как тремор, мышечная скованность, неусидчивость,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акатизия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Гамма-аминомасляная</w:t>
      </w:r>
      <w:proofErr w:type="gramEnd"/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кислота (ГАМК).</w:t>
      </w: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Установлено, что ГАМК не только является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нейротрансмиттером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также </w:t>
      </w:r>
      <w:proofErr w:type="gram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синаптического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модулятора. ГАМК функционирует во многих системах мозга как «тормозная субстанция». Те структуры мозга, в которых обнаруживается наибольшее содержание ГАМК, имеют одновременно и высокий уровень дофамина. Поскольку ГАМК может проникать через </w:t>
      </w: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гематоэнцефалический барьер (ГЭБ) в организме больных шизофренией, то, ингибируя ГАМК-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трансаминазу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создать повышенные концентрации ГАМК в головном мозге. Торможения метаболизма ГАМК можно добиться с помощью аминоуксусной кислоты и гидразинов. Агонистом ГАМК является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муксимол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галлюциногенными свойствами.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Диазепам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можно использовать в качестве агониста ГАМК. Ингибирование ГАМК-рецепторов в вентральной коре головного мозга повышает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дофаминовую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в области обонятельного бугра мозга и вызывает аномалии поведения у животных, напоминающие экспериментальные психозы.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Норадреналин.</w:t>
      </w: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вещество синтезируется из дофамина, инактивируется МАО, а затем превращается в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ванилилминдальную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 (ВМК) и 4-метокси-4-гидроксифенилгликоль (МОФЕГ). Норадреналин является предшественником гормона надпочечников адреналина. Ослабление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норадренэргической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может свидетельствовать о развитии депрессии. Доказано участие норадреналина в формировании эмоций (тоски, страха, тревоги), регуляции цикла сон — бодрствование, реализации ощущения боли.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Серотонин.</w:t>
      </w: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Выраженный седативный эффект у животных и тяжелые депрессии у людей после приема больших доз резерпина позволили предположить, что подобные явления могут быть связаны с уменьшением содержания в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нейрональных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терминалах мозга норадреналина и серотонина (5-гидрокси-метиламина, 5-ОТ, 5НТ) под влиянием резерпина. Результаты психофармакологических исследований дали импульс к развитию серотониновой гипотезы механизмов патогенеза депрессивных состояний. Ингибиторы МАО сильнее воздействуют на уровень серотонина в мозге, чем на уровень норадреналина. Трициклические антидепрессанты (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имипрамин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амитриптилин) способны блокировать обратный захват серотонина в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пресинаптических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окончаниях, повышая уровень серотонина в мозге. При исследовании содержания серотонина в тканях мозга больных депрессией после самоубийства некоторым исследователям удалось определить снижение уровня серотонина и его метаболитов в мозговых тканях.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Нейропептиды</w:t>
      </w:r>
      <w:proofErr w:type="spellEnd"/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Эти вещества служат материальной основой различных межклеточных взаимодействий, выступая в качестве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нейрогормонов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нейротрансмиттеров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нейромодуляторов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их функций способствует раскрытию сущности биологических процессов, лежащих в основе патологии психической деятельности. Нейрогормональными функциями </w:t>
      </w:r>
      <w:proofErr w:type="gram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</w:t>
      </w:r>
      <w:proofErr w:type="gram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вазопрессин, окситоцин,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нейротензин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тиролиберин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нейропептиды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вовлечены в такие процессы нервной деятельности, как запоминание, консолидация памяти, эмоциональные реакции.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Нейропептид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рилизинг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-гормон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тирботропина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введении больным депрессией улучшает их состояние, а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соматостатин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углублять депрессию.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Эндорфины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энкефалин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относятся a-,</w:t>
      </w:r>
      <w:proofErr w:type="gram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- ?-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эндорфины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функцию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нейромодуляторов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Обнаружение в тканях мозга эндогенных веществ, ведущих себя аналогично морфину, позволило предположить существование и других эндогенных психотропных веществ со специфическими рецепторами. Изменение их концентрации может приводить к нарушению психической деятельности. Одним из антагонистов морфина является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налоксон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введение которого у некоторых больных приводит к кратковременному ослаблению галлюцинаторных явлений и уровня маниакального возбуждения. К группе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нейропептидов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пролактин. В Институте молекулярной генетики РАН создан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нейропептидный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семакс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аминокислот), который улучшает процесс запоминания и оказывает активирующее влияние на психические процессы.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Глутамат</w:t>
      </w:r>
      <w:proofErr w:type="spellEnd"/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глутаминовая</w:t>
      </w:r>
      <w:proofErr w:type="spellEnd"/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кислота).</w:t>
      </w: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вещество синтезируется из </w:t>
      </w:r>
      <w:proofErr w:type="gram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кето-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глутарата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трансаминирования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возбуждающим медиатором, который обеспечивает проникновение ионов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++,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+, </w:t>
      </w:r>
      <w:proofErr w:type="gram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в клетку. Присутствие ионов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++ может блокировать действие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 блокаторов кальциевого канала (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нифедипин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также используют для предотвращения действия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8EC" w:rsidRPr="008368EC" w:rsidRDefault="008368EC" w:rsidP="008368EC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Глицин.</w:t>
      </w: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Усиливает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нейрональный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ответ; в отсутствие глицина рецепторы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рефрактерными.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Арвид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описавший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дофаминэргические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глутаматэргические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рецепторы, был удостоен Нобелевской премии. Особое внимание привлекают те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глутаматные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рецепторы, которые специально реагируют с синтетическим аналогом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глутамата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N-метил-D-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аспартатом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(NMDA). NMDA-рецепторы обеспечивают процессы нейрональной пластичности, интегративную деятельность мозга и работу памяти.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Сверхактивность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рецепторов рассматривается как один из механизмов развития психозов. Иногда процесс возбуждения приводит к катастрофическому накопл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ионов в нейроне, что влечет его гибель (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эксайтотоксичность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данный механизм лежит, как предполагается, в основе развития дегенеративных процессов при болезни Альцгеймера и гибели нейронов при ишемии. В связи с этим как лечебное средство эффективно используется </w:t>
      </w:r>
      <w:proofErr w:type="spell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мемонтин</w:t>
      </w:r>
      <w:proofErr w:type="spell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proofErr w:type="gramEnd"/>
      <w:r w:rsidRPr="00836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неконкурентным блокатором NMDA-рецепторов, для стабилизации состояния при болезни Альцгеймера.</w:t>
      </w:r>
    </w:p>
    <w:p w:rsidR="007C4B91" w:rsidRDefault="007C4B91"/>
    <w:sectPr w:rsidR="007C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EC"/>
    <w:rsid w:val="0060176E"/>
    <w:rsid w:val="007C4B91"/>
    <w:rsid w:val="0083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63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9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9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8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462627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2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4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9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2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01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1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2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370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2021-07-29T08:23:00Z</dcterms:created>
  <dcterms:modified xsi:type="dcterms:W3CDTF">2021-07-29T08:28:00Z</dcterms:modified>
</cp:coreProperties>
</file>